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716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2612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УИД: </w:t>
      </w:r>
      <w:r>
        <w:rPr>
          <w:rFonts w:ascii="Times New Roman" w:eastAsia="Times New Roman" w:hAnsi="Times New Roman" w:cs="Times New Roman"/>
          <w:sz w:val="26"/>
          <w:szCs w:val="26"/>
        </w:rPr>
        <w:t>86MS0067-01-2026-004018-38</w:t>
      </w:r>
    </w:p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го значения Сургута Думлер Галина Павловна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находящая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403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szCs w:val="26"/>
        </w:rPr>
        <w:t>Биктимерова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Ф.Т.,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8.37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Биктимерова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Флюра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Тажтдиновича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0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13.05.2026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Биктимеров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находясь на водном объекте </w:t>
      </w:r>
      <w:r>
        <w:rPr>
          <w:rStyle w:val="cat-UserDefinedgrp-41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осуществил добычу (вылов) водных биологических ресурсов в период весеннего запрета, с использованием запрещенного орудия добычи (вылова) паук-подъемник, с полотном из лески (</w:t>
      </w:r>
      <w:r>
        <w:rPr>
          <w:rFonts w:ascii="Times New Roman" w:eastAsia="Times New Roman" w:hAnsi="Times New Roman" w:cs="Times New Roman"/>
          <w:sz w:val="26"/>
          <w:szCs w:val="26"/>
        </w:rPr>
        <w:t>мононити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p>
      <w:pPr>
        <w:spacing w:before="0" w:after="0" w:line="254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Биктимеров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судебном заседании вину признал.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доказат</w:t>
      </w:r>
      <w:r>
        <w:rPr>
          <w:rFonts w:ascii="Times New Roman" w:eastAsia="Times New Roman" w:hAnsi="Times New Roman" w:cs="Times New Roman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sz w:val="26"/>
          <w:szCs w:val="26"/>
        </w:rPr>
        <w:t>ьство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Биктимерова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181449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13.05.2026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копия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рапорта ИДПС ОБДПС ГАИ УМВД России по г. Сургуту от 13.05.2026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протокола изъятия от 13.05.2026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фото-таблица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копия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задания на проведение выездного обследования от 07.05.2026.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35.1 Правил рыболовства для </w:t>
      </w:r>
      <w:r>
        <w:rPr>
          <w:rFonts w:ascii="Times New Roman" w:eastAsia="Times New Roman" w:hAnsi="Times New Roman" w:cs="Times New Roman"/>
          <w:sz w:val="26"/>
          <w:szCs w:val="26"/>
        </w:rPr>
        <w:t>Западно-Сибирского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рыбохозяйственного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бассейна (утверждённых Приказом Министерства сельского хозяйства РФ от 30 октября 2020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г.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646) запрещается добыча (вылов) водных биоресурсов любыми орудиями добычи (вылова), за исключением: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п. 35.1.1. на водных объектах </w:t>
      </w:r>
      <w:r>
        <w:rPr>
          <w:rFonts w:ascii="Times New Roman" w:eastAsia="Times New Roman" w:hAnsi="Times New Roman" w:cs="Times New Roman"/>
          <w:sz w:val="26"/>
          <w:szCs w:val="26"/>
        </w:rPr>
        <w:t>рыбохозяйственного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значения общего пользования: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летними и зимними удочками всех модификаций с общим количеством крючков (одинарных, двойников или тройников, далее - крючков), в том числе крючков на блеснах не более 10 штук на орудиях добычи (вылова) у одного гражданина;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спиннингами, фидером, плавучих платформ, изготовленных из различных материалов и прикрепленных к ним поводков, крючков с насаженной наживкой (далее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кораблик), приманок в виде змеи различных видов и форм, </w:t>
      </w:r>
      <w:r>
        <w:rPr>
          <w:rFonts w:ascii="Times New Roman" w:eastAsia="Times New Roman" w:hAnsi="Times New Roman" w:cs="Times New Roman"/>
          <w:sz w:val="26"/>
          <w:szCs w:val="26"/>
        </w:rPr>
        <w:t>нахлыстовыми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удочками с использованием блесен, </w:t>
      </w:r>
      <w:r>
        <w:rPr>
          <w:rFonts w:ascii="Times New Roman" w:eastAsia="Times New Roman" w:hAnsi="Times New Roman" w:cs="Times New Roman"/>
          <w:sz w:val="26"/>
          <w:szCs w:val="26"/>
        </w:rPr>
        <w:t>воблеров</w:t>
      </w:r>
      <w:r>
        <w:rPr>
          <w:rFonts w:ascii="Times New Roman" w:eastAsia="Times New Roman" w:hAnsi="Times New Roman" w:cs="Times New Roman"/>
          <w:sz w:val="26"/>
          <w:szCs w:val="26"/>
        </w:rPr>
        <w:t>, мушек и других приманок;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жерлицами и кружками общим количеством не более 10 штук у одного гражданина;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закидными удочками (</w:t>
      </w:r>
      <w:r>
        <w:rPr>
          <w:rFonts w:ascii="Times New Roman" w:eastAsia="Times New Roman" w:hAnsi="Times New Roman" w:cs="Times New Roman"/>
          <w:sz w:val="26"/>
          <w:szCs w:val="26"/>
        </w:rPr>
        <w:t>закидушками</w:t>
      </w:r>
      <w:r>
        <w:rPr>
          <w:rFonts w:ascii="Times New Roman" w:eastAsia="Times New Roman" w:hAnsi="Times New Roman" w:cs="Times New Roman"/>
          <w:sz w:val="26"/>
          <w:szCs w:val="26"/>
        </w:rPr>
        <w:t>), в том числе с использованием резиновых амортизаторов, и переметами с общим количеством крючков не более 10 штук на орудиях добычи (вылова) у одного гражданина;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дорожку (</w:t>
      </w:r>
      <w:r>
        <w:rPr>
          <w:rFonts w:ascii="Times New Roman" w:eastAsia="Times New Roman" w:hAnsi="Times New Roman" w:cs="Times New Roman"/>
          <w:sz w:val="26"/>
          <w:szCs w:val="26"/>
        </w:rPr>
        <w:t>троллингом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специальными пневматическими ружьями и пистолетами для подводной охоты без использования аквалангов и других автономных дыхательных аппаратов;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мелкоячеистыми бреднями (для добычи (вылова) живца) длиной не более 3 м, с размером (шагом) ячеи не более 15 мм;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раколовками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количестве не более 5 штук у одного гражданина, с диаметром каждой </w:t>
      </w:r>
      <w:r>
        <w:rPr>
          <w:rFonts w:ascii="Times New Roman" w:eastAsia="Times New Roman" w:hAnsi="Times New Roman" w:cs="Times New Roman"/>
          <w:sz w:val="26"/>
          <w:szCs w:val="26"/>
        </w:rPr>
        <w:t>раколовки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более 80 см;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осуществлении добычи (вылова) </w:t>
      </w:r>
      <w:r>
        <w:rPr>
          <w:rFonts w:ascii="Times New Roman" w:eastAsia="Times New Roman" w:hAnsi="Times New Roman" w:cs="Times New Roman"/>
          <w:sz w:val="26"/>
          <w:szCs w:val="26"/>
        </w:rPr>
        <w:t>хирономид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допускается применение ловушки, состоящей из шеста с конусно закрепленным кольцом диаметром не более 200 мм, на котором размещены параллельно натянутые нити из лески. При осуществлении добычи (вылова) </w:t>
      </w:r>
      <w:r>
        <w:rPr>
          <w:rFonts w:ascii="Times New Roman" w:eastAsia="Times New Roman" w:hAnsi="Times New Roman" w:cs="Times New Roman"/>
          <w:sz w:val="26"/>
          <w:szCs w:val="26"/>
        </w:rPr>
        <w:t>гаммаруса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допускается применение ловушки (</w:t>
      </w:r>
      <w:r>
        <w:rPr>
          <w:rFonts w:ascii="Times New Roman" w:eastAsia="Times New Roman" w:hAnsi="Times New Roman" w:cs="Times New Roman"/>
          <w:sz w:val="26"/>
          <w:szCs w:val="26"/>
        </w:rPr>
        <w:t>мормышовое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корыто) с входным отверстием диаметром не более 200 мм;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п.35.1.2 Правил рыболовства на водных объектах </w:t>
      </w:r>
      <w:r>
        <w:rPr>
          <w:rFonts w:ascii="Times New Roman" w:eastAsia="Times New Roman" w:hAnsi="Times New Roman" w:cs="Times New Roman"/>
          <w:sz w:val="26"/>
          <w:szCs w:val="26"/>
        </w:rPr>
        <w:t>рыбохозяйственного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значения, за пределами рыбоводных и рыболовных участков, наряду с перечисленными в пункте 35.1.1 Правил рыболовства орудиями добычи (вылова) допускается применение на одного гражданина следующих сетных орудий лова: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б) на территории Ханты-Мансийского автономного округа - Югры: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одной ставной сети длиной не более 30 м, с размером (шагом) ячеи, указанным в пункте 20.4 Правил рыболовства, за исключением озер Домашнее, </w:t>
      </w:r>
      <w:r>
        <w:rPr>
          <w:rFonts w:ascii="Times New Roman" w:eastAsia="Times New Roman" w:hAnsi="Times New Roman" w:cs="Times New Roman"/>
          <w:sz w:val="26"/>
          <w:szCs w:val="26"/>
        </w:rPr>
        <w:t>Лахсентур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Сырковое, </w:t>
      </w:r>
      <w:r>
        <w:rPr>
          <w:rFonts w:ascii="Times New Roman" w:eastAsia="Times New Roman" w:hAnsi="Times New Roman" w:cs="Times New Roman"/>
          <w:sz w:val="26"/>
          <w:szCs w:val="26"/>
        </w:rPr>
        <w:t>Энетор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Шопох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Кондинского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района, </w:t>
      </w:r>
      <w:r>
        <w:rPr>
          <w:rFonts w:ascii="Times New Roman" w:eastAsia="Times New Roman" w:hAnsi="Times New Roman" w:cs="Times New Roman"/>
          <w:sz w:val="26"/>
          <w:szCs w:val="26"/>
        </w:rPr>
        <w:t>Ендра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Ендырь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Долгий сор, </w:t>
      </w:r>
      <w:r>
        <w:rPr>
          <w:rFonts w:ascii="Times New Roman" w:eastAsia="Times New Roman" w:hAnsi="Times New Roman" w:cs="Times New Roman"/>
          <w:sz w:val="26"/>
          <w:szCs w:val="26"/>
        </w:rPr>
        <w:t>Шош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ега</w:t>
      </w:r>
      <w:r>
        <w:rPr>
          <w:rFonts w:ascii="Times New Roman" w:eastAsia="Times New Roman" w:hAnsi="Times New Roman" w:cs="Times New Roman"/>
          <w:sz w:val="26"/>
          <w:szCs w:val="26"/>
        </w:rPr>
        <w:t>-тор, Медвежье Ханты-Мансийского района;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одного фитиля с крылом длиной не более 2 м, с размером (шагом) ячеи, указанным в пункте 20.4 Правил рыболовства.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35.2 Правил рыболовства при любительском рыболовстве запрещается применение сетных орудий добычи (вылова) из лески (</w:t>
      </w:r>
      <w:r>
        <w:rPr>
          <w:rFonts w:ascii="Times New Roman" w:eastAsia="Times New Roman" w:hAnsi="Times New Roman" w:cs="Times New Roman"/>
          <w:sz w:val="26"/>
          <w:szCs w:val="26"/>
        </w:rPr>
        <w:t>мононити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Совокупность доказательств позволяет мировому судье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2 ст. 8.37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Биктимерова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Флюра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Тажтдиновича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квалифицирует по ч. 2 ст. 8.37 КоАП РФ – нарушение правил, регламентирующих рыболовство, за исключением случаев, предусмотренных частью 2 статьи 8.17 настоящего Кодекса.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предусмотренных ст. 4.3 КоАП РФ, мировым судьёй не установлено.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этом, в целях предотвращения совершения новых административных правонарушений, суд считает необходимым назначить дополнительное административное наказание в виде конфискации орудия совершения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29.9-29.10 Кодекса Российской Федерации об административных правонарушениях, суд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Биктимерова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Флюра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Тажтдиновича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 2 ст. 8.37 КоАП РФ и подвергнуть наказанию в виде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 размере двух тысяч рублей, с конфискацией орудий добычи.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Наименование получателя: </w:t>
      </w:r>
      <w:r>
        <w:rPr>
          <w:rFonts w:ascii="Times New Roman" w:eastAsia="Times New Roman" w:hAnsi="Times New Roman" w:cs="Times New Roman"/>
          <w:sz w:val="26"/>
          <w:szCs w:val="26"/>
        </w:rPr>
        <w:t>УФК по ХМАО - Югре (Департамент административного обеспечения ХМАО – Югры, л/с 04872D08080; Наименование банка: ОКЦ № 8 УГУ Банка России (УФК по ХМАО-Югре г. Ханты-Мансийск)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Номер счёта получателя 031 006 430 000 000 18700, ЕКС 401 028 102 453 700 000 07; БИК 007162163; ОКТМО 71876000; ИНН 8601073664; КПП 860101001; КБК 720116 01083010037140;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0412365400675007162608182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Квитанция с копие</w:t>
      </w:r>
      <w:r>
        <w:rPr>
          <w:rFonts w:ascii="Times New Roman" w:eastAsia="Times New Roman" w:hAnsi="Times New Roman" w:cs="Times New Roman"/>
          <w:sz w:val="26"/>
          <w:szCs w:val="26"/>
        </w:rPr>
        <w:t>й предоставляется в 10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Сургутского судебного района города окружного значения Сургут.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</w:t>
      </w:r>
      <w:r>
        <w:rPr>
          <w:rFonts w:ascii="Times New Roman" w:eastAsia="Times New Roman" w:hAnsi="Times New Roman" w:cs="Times New Roman"/>
          <w:sz w:val="26"/>
          <w:szCs w:val="26"/>
        </w:rPr>
        <w:t>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</w:t>
      </w:r>
      <w:r>
        <w:rPr>
          <w:rFonts w:ascii="Times New Roman" w:eastAsia="Times New Roman" w:hAnsi="Times New Roman" w:cs="Times New Roman"/>
          <w:sz w:val="26"/>
          <w:szCs w:val="26"/>
        </w:rPr>
        <w:t>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 Думлер Г.П.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716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2612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0">
    <w:name w:val="cat-UserDefined grp-40 rplc-10"/>
    <w:basedOn w:val="DefaultParagraphFont"/>
  </w:style>
  <w:style w:type="character" w:customStyle="1" w:styleId="cat-UserDefinedgrp-41rplc-18">
    <w:name w:val="cat-UserDefined grp-41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